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2B" w:rsidRPr="007F4D2B" w:rsidRDefault="007F4D2B" w:rsidP="007F4D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D2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ЗАЛАЗНИНСКОЕ СЕЛЬСКОЕ ПОСЕЛЕНИЕ</w:t>
      </w:r>
    </w:p>
    <w:p w:rsidR="007F4D2B" w:rsidRPr="007F4D2B" w:rsidRDefault="007F4D2B" w:rsidP="007F4D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D2B">
        <w:rPr>
          <w:rFonts w:ascii="Times New Roman" w:hAnsi="Times New Roman" w:cs="Times New Roman"/>
          <w:b/>
          <w:sz w:val="28"/>
          <w:szCs w:val="28"/>
        </w:rPr>
        <w:t>ОМУТНИНСКИЙ РАЙОН КИРОВСКАЯ ОБЛАСТЬ</w:t>
      </w:r>
    </w:p>
    <w:p w:rsidR="007F4D2B" w:rsidRPr="007F4D2B" w:rsidRDefault="007F4D2B" w:rsidP="007F4D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D2B" w:rsidRDefault="007F4D2B" w:rsidP="007F4D2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D2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F4D2B" w:rsidRDefault="007F4D2B" w:rsidP="007F4D2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D2B" w:rsidRDefault="00791206" w:rsidP="007F4D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27.07.2022</w:t>
      </w:r>
      <w:r w:rsidR="007F4D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20/1</w:t>
      </w:r>
    </w:p>
    <w:p w:rsidR="007F4D2B" w:rsidRDefault="007F4D2B" w:rsidP="007F4D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алазна</w:t>
      </w:r>
      <w:proofErr w:type="spellEnd"/>
    </w:p>
    <w:p w:rsidR="007F4D2B" w:rsidRDefault="007F4D2B" w:rsidP="007F4D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4D2B" w:rsidRPr="007F4D2B" w:rsidRDefault="007F4D2B" w:rsidP="007F4D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D2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791206">
        <w:rPr>
          <w:rFonts w:ascii="Times New Roman" w:hAnsi="Times New Roman" w:cs="Times New Roman"/>
          <w:b/>
          <w:sz w:val="28"/>
          <w:szCs w:val="28"/>
        </w:rPr>
        <w:t xml:space="preserve"> №39  от 12.11.2020 </w:t>
      </w:r>
    </w:p>
    <w:p w:rsidR="007F4D2B" w:rsidRDefault="007F4D2B" w:rsidP="007F4D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D2B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«Развитие муниципального образования </w:t>
      </w:r>
      <w:proofErr w:type="spellStart"/>
      <w:r w:rsidRPr="007F4D2B">
        <w:rPr>
          <w:rFonts w:ascii="Times New Roman" w:hAnsi="Times New Roman" w:cs="Times New Roman"/>
          <w:b/>
          <w:sz w:val="28"/>
          <w:szCs w:val="28"/>
        </w:rPr>
        <w:t>Залазнинское</w:t>
      </w:r>
      <w:proofErr w:type="spellEnd"/>
      <w:r w:rsidRPr="007F4D2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7F4D2B">
        <w:rPr>
          <w:rFonts w:ascii="Times New Roman" w:hAnsi="Times New Roman" w:cs="Times New Roman"/>
          <w:b/>
          <w:sz w:val="28"/>
          <w:szCs w:val="28"/>
        </w:rPr>
        <w:t>Омутнинского</w:t>
      </w:r>
      <w:proofErr w:type="spellEnd"/>
      <w:r w:rsidRPr="007F4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206">
        <w:rPr>
          <w:rFonts w:ascii="Times New Roman" w:hAnsi="Times New Roman" w:cs="Times New Roman"/>
          <w:b/>
          <w:sz w:val="28"/>
          <w:szCs w:val="28"/>
        </w:rPr>
        <w:t>района Кировской области на 2021-2025</w:t>
      </w:r>
      <w:r w:rsidRPr="007F4D2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7F4D2B" w:rsidRDefault="007F4D2B" w:rsidP="007F4D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D2B" w:rsidRPr="007F4D2B" w:rsidRDefault="007F4D2B" w:rsidP="007F4D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3E2" w:rsidRDefault="007F4D2B" w:rsidP="00D805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D2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N 131-ФЗ "Об</w:t>
      </w:r>
      <w:r w:rsidR="00D80587">
        <w:rPr>
          <w:rFonts w:ascii="Times New Roman" w:hAnsi="Times New Roman" w:cs="Times New Roman"/>
          <w:sz w:val="28"/>
          <w:szCs w:val="28"/>
        </w:rPr>
        <w:t xml:space="preserve"> </w:t>
      </w:r>
      <w:r w:rsidRPr="007F4D2B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 w:rsidR="00D80587">
        <w:rPr>
          <w:rFonts w:ascii="Times New Roman" w:hAnsi="Times New Roman" w:cs="Times New Roman"/>
          <w:sz w:val="28"/>
          <w:szCs w:val="28"/>
        </w:rPr>
        <w:t xml:space="preserve"> </w:t>
      </w:r>
      <w:r w:rsidRPr="007F4D2B">
        <w:rPr>
          <w:rFonts w:ascii="Times New Roman" w:hAnsi="Times New Roman" w:cs="Times New Roman"/>
          <w:sz w:val="28"/>
          <w:szCs w:val="28"/>
        </w:rPr>
        <w:t xml:space="preserve">Федерации", Уставом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</w:t>
      </w:r>
      <w:r w:rsidRPr="007F4D2B">
        <w:rPr>
          <w:rFonts w:ascii="Times New Roman" w:hAnsi="Times New Roman" w:cs="Times New Roman"/>
          <w:sz w:val="28"/>
          <w:szCs w:val="28"/>
        </w:rPr>
        <w:t xml:space="preserve">, </w:t>
      </w:r>
      <w:r w:rsidR="00D80587">
        <w:rPr>
          <w:rFonts w:ascii="Times New Roman" w:hAnsi="Times New Roman" w:cs="Times New Roman"/>
          <w:sz w:val="28"/>
          <w:szCs w:val="28"/>
        </w:rPr>
        <w:t>админи</w:t>
      </w:r>
      <w:r w:rsidR="001D63E2">
        <w:rPr>
          <w:rFonts w:ascii="Times New Roman" w:hAnsi="Times New Roman" w:cs="Times New Roman"/>
          <w:sz w:val="28"/>
          <w:szCs w:val="28"/>
        </w:rPr>
        <w:t xml:space="preserve">страция муниципального образования </w:t>
      </w:r>
      <w:proofErr w:type="spellStart"/>
      <w:r w:rsidR="001D63E2">
        <w:rPr>
          <w:rFonts w:ascii="Times New Roman" w:hAnsi="Times New Roman" w:cs="Times New Roman"/>
          <w:sz w:val="28"/>
          <w:szCs w:val="28"/>
        </w:rPr>
        <w:t>Залазнинское</w:t>
      </w:r>
      <w:proofErr w:type="spellEnd"/>
      <w:r w:rsidR="001D63E2">
        <w:rPr>
          <w:rFonts w:ascii="Times New Roman" w:hAnsi="Times New Roman" w:cs="Times New Roman"/>
          <w:sz w:val="28"/>
          <w:szCs w:val="28"/>
        </w:rPr>
        <w:t xml:space="preserve"> сельское поселение ПОСТАНОВЛЯЕТ:</w:t>
      </w:r>
    </w:p>
    <w:p w:rsidR="007F4D2B" w:rsidRPr="007F4D2B" w:rsidRDefault="001D63E2" w:rsidP="005066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постановление</w:t>
      </w:r>
      <w:r w:rsidR="00791206">
        <w:rPr>
          <w:rFonts w:ascii="Times New Roman" w:hAnsi="Times New Roman" w:cs="Times New Roman"/>
          <w:sz w:val="28"/>
          <w:szCs w:val="28"/>
        </w:rPr>
        <w:t xml:space="preserve"> № 39  от 12.11.2020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на</w:t>
      </w:r>
      <w:r w:rsidR="00791206">
        <w:rPr>
          <w:rFonts w:ascii="Times New Roman" w:hAnsi="Times New Roman" w:cs="Times New Roman"/>
          <w:sz w:val="28"/>
          <w:szCs w:val="28"/>
        </w:rPr>
        <w:t xml:space="preserve"> 2021-2025</w:t>
      </w:r>
      <w:r>
        <w:rPr>
          <w:rFonts w:ascii="Times New Roman" w:hAnsi="Times New Roman" w:cs="Times New Roman"/>
          <w:sz w:val="28"/>
          <w:szCs w:val="28"/>
        </w:rPr>
        <w:t xml:space="preserve"> годы» дополнив подпрограммой  «Содержание и ремонт жилого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  <w:r w:rsidR="00E10E95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7F4D2B" w:rsidRDefault="005066EE" w:rsidP="001D6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4D2B" w:rsidRPr="007F4D2B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1D63E2">
        <w:rPr>
          <w:rFonts w:ascii="Times New Roman" w:hAnsi="Times New Roman" w:cs="Times New Roman"/>
          <w:sz w:val="28"/>
          <w:szCs w:val="28"/>
        </w:rPr>
        <w:t xml:space="preserve"> вступает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6EE" w:rsidRPr="007F4D2B" w:rsidRDefault="005066EE" w:rsidP="001D6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на информационных стендах и щитах по адресам, утвержденным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05.09.2013 № 20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</w:t>
      </w:r>
    </w:p>
    <w:p w:rsidR="00005B94" w:rsidRDefault="00CC49AA" w:rsidP="001D63E2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7F4D2B" w:rsidRPr="007F4D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4D2B" w:rsidRPr="007F4D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4D2B" w:rsidRPr="007F4D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7F4D2B">
        <w:t>.</w:t>
      </w:r>
    </w:p>
    <w:p w:rsidR="005066EE" w:rsidRDefault="005066EE" w:rsidP="005066EE">
      <w:pPr>
        <w:pStyle w:val="a3"/>
        <w:jc w:val="both"/>
      </w:pPr>
    </w:p>
    <w:p w:rsidR="005066EE" w:rsidRDefault="005066EE" w:rsidP="005066EE">
      <w:pPr>
        <w:pStyle w:val="a3"/>
        <w:jc w:val="both"/>
      </w:pPr>
    </w:p>
    <w:p w:rsidR="005066EE" w:rsidRDefault="005066EE" w:rsidP="005066EE">
      <w:pPr>
        <w:pStyle w:val="a3"/>
        <w:jc w:val="both"/>
      </w:pPr>
    </w:p>
    <w:p w:rsidR="005066EE" w:rsidRDefault="005066EE" w:rsidP="005066EE">
      <w:pPr>
        <w:pStyle w:val="a3"/>
        <w:jc w:val="both"/>
      </w:pPr>
    </w:p>
    <w:p w:rsidR="005066EE" w:rsidRDefault="005066EE" w:rsidP="005066EE">
      <w:pPr>
        <w:pStyle w:val="a3"/>
        <w:jc w:val="both"/>
      </w:pPr>
    </w:p>
    <w:p w:rsidR="005066EE" w:rsidRPr="005066EE" w:rsidRDefault="005066EE" w:rsidP="00506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6E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066EE" w:rsidRDefault="005066EE" w:rsidP="005066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066EE">
        <w:rPr>
          <w:rFonts w:ascii="Times New Roman" w:hAnsi="Times New Roman" w:cs="Times New Roman"/>
          <w:sz w:val="28"/>
          <w:szCs w:val="28"/>
        </w:rPr>
        <w:t>Залазнинского</w:t>
      </w:r>
      <w:proofErr w:type="spellEnd"/>
      <w:r w:rsidRPr="005066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91206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791206">
        <w:rPr>
          <w:rFonts w:ascii="Times New Roman" w:hAnsi="Times New Roman" w:cs="Times New Roman"/>
          <w:sz w:val="28"/>
          <w:szCs w:val="28"/>
        </w:rPr>
        <w:t>М.И.Смагина</w:t>
      </w:r>
      <w:proofErr w:type="spellEnd"/>
    </w:p>
    <w:p w:rsidR="00CC49AA" w:rsidRDefault="00CC49AA" w:rsidP="00506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9AA" w:rsidRDefault="00CC49AA" w:rsidP="00506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9AA" w:rsidRDefault="00CC49AA" w:rsidP="00506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9AA" w:rsidRDefault="00CC49AA" w:rsidP="00506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9AA" w:rsidRPr="00CC49AA" w:rsidRDefault="00CC49AA" w:rsidP="00CC49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AA">
        <w:rPr>
          <w:rFonts w:ascii="Times New Roman" w:hAnsi="Times New Roman" w:cs="Times New Roman"/>
          <w:b/>
          <w:sz w:val="28"/>
          <w:szCs w:val="28"/>
        </w:rPr>
        <w:t>1. ПАСПОРТ П</w:t>
      </w:r>
      <w:r w:rsidR="005B3FE3">
        <w:rPr>
          <w:rFonts w:ascii="Times New Roman" w:hAnsi="Times New Roman" w:cs="Times New Roman"/>
          <w:b/>
          <w:sz w:val="28"/>
          <w:szCs w:val="28"/>
        </w:rPr>
        <w:t>ОДП</w:t>
      </w:r>
      <w:r w:rsidRPr="00CC49A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CC49AA" w:rsidRDefault="00CC49AA" w:rsidP="00CC49AA">
      <w:pPr>
        <w:autoSpaceDE w:val="0"/>
        <w:autoSpaceDN w:val="0"/>
        <w:adjustRightInd w:val="0"/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7335"/>
      </w:tblGrid>
      <w:tr w:rsidR="00CC49AA" w:rsidTr="00791206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Подпрограмма «Содержание и ремонт  жилого фонда  </w:t>
            </w:r>
            <w:r w:rsidR="005B3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FE3">
              <w:rPr>
                <w:rFonts w:ascii="Times New Roman" w:hAnsi="Times New Roman" w:cs="Times New Roman"/>
                <w:sz w:val="24"/>
                <w:szCs w:val="24"/>
              </w:rPr>
              <w:t>Залазнинско</w:t>
            </w:r>
            <w:r w:rsidR="0079120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7912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</w:t>
            </w:r>
          </w:p>
        </w:tc>
      </w:tr>
      <w:tr w:rsidR="00CC49AA" w:rsidTr="00791206">
        <w:trPr>
          <w:cantSplit/>
          <w:trHeight w:val="134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B3FE3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Жилищный кодекс Российской Федерации;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Бюджетный кодекс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Федеральный закон от 06.10.2003 № 131-ФЗ «Об общих принципах организации местного самоуправления в Российской Федерации» </w:t>
            </w:r>
          </w:p>
        </w:tc>
      </w:tr>
      <w:tr w:rsidR="00CC49AA" w:rsidTr="00791206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</w:t>
            </w:r>
            <w:r w:rsidR="005B3FE3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B3FE3">
              <w:rPr>
                <w:rFonts w:ascii="Times New Roman" w:hAnsi="Times New Roman" w:cs="Times New Roman"/>
                <w:sz w:val="24"/>
                <w:szCs w:val="24"/>
              </w:rPr>
              <w:t>Залазнинского</w:t>
            </w:r>
            <w:proofErr w:type="spellEnd"/>
            <w:r w:rsidR="005B3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5B3FE3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</w:t>
            </w:r>
            <w:proofErr w:type="spellStart"/>
            <w:r w:rsidR="005B3FE3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="005B3F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CC49AA" w:rsidTr="00791206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разработчик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="005B3FE3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Default="005B3FE3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Залазнинского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CC49AA" w:rsidTr="00791206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</w:t>
            </w:r>
            <w:r w:rsidR="005B3FE3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 П</w:t>
            </w:r>
            <w:r w:rsidR="005B3FE3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является:</w:t>
            </w:r>
          </w:p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</w:t>
            </w:r>
            <w:r w:rsidR="005B3FE3">
              <w:rPr>
                <w:rFonts w:ascii="Times New Roman" w:hAnsi="Times New Roman" w:cs="Times New Roman"/>
                <w:sz w:val="24"/>
                <w:szCs w:val="24"/>
              </w:rPr>
              <w:t xml:space="preserve">ение сохранности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FE3">
              <w:rPr>
                <w:rFonts w:ascii="Times New Roman" w:hAnsi="Times New Roman" w:cs="Times New Roman"/>
                <w:sz w:val="24"/>
                <w:szCs w:val="24"/>
              </w:rPr>
              <w:t>жилого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комфортности проживания в них граждан;</w:t>
            </w:r>
          </w:p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муниципального жилого фонда.</w:t>
            </w:r>
          </w:p>
        </w:tc>
      </w:tr>
      <w:tr w:rsidR="00CC49AA" w:rsidTr="00791206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="005B3FE3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реализации П</w:t>
            </w:r>
            <w:r w:rsidR="005B3FE3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рограммы: </w:t>
            </w:r>
          </w:p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привести состояние</w:t>
            </w:r>
            <w:r w:rsidR="005B3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жилого фонда в соответствие с нормативно-техническими требованиями;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увеличить количество приватизированного жилья.    </w:t>
            </w:r>
          </w:p>
        </w:tc>
      </w:tr>
      <w:tr w:rsidR="00CC49AA" w:rsidTr="00791206">
        <w:trPr>
          <w:cantSplit/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целевые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</w:t>
            </w:r>
            <w:r w:rsidR="005B3FE3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технического состояния конструкций и систем инже</w:t>
            </w:r>
            <w:r w:rsidR="005B3FE3">
              <w:rPr>
                <w:rFonts w:ascii="Times New Roman" w:hAnsi="Times New Roman" w:cs="Times New Roman"/>
                <w:sz w:val="24"/>
                <w:szCs w:val="24"/>
              </w:rPr>
              <w:t xml:space="preserve">нерно-технического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жилого фонда до показателей соответствующих нормативным срокам проведения их капитального ремонта.</w:t>
            </w:r>
          </w:p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AA" w:rsidTr="00791206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реализации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Default="00791206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2021 - 2025</w:t>
            </w:r>
            <w:r w:rsidR="00CC49AA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</w:t>
            </w:r>
          </w:p>
        </w:tc>
      </w:tr>
      <w:tr w:rsidR="00CC49AA" w:rsidTr="00791206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="005B3FE3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Default="005B3FE3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Залазнинского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CC49AA" w:rsidTr="00791206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Pr="005B3FE3" w:rsidRDefault="00CC49AA" w:rsidP="005B3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FE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</w:t>
            </w:r>
            <w:r w:rsidR="005B3FE3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B3FE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CC49AA" w:rsidRPr="005B3FE3" w:rsidRDefault="00CC49AA" w:rsidP="005B3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FE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791206">
              <w:rPr>
                <w:rFonts w:ascii="Times New Roman" w:hAnsi="Times New Roman" w:cs="Times New Roman"/>
                <w:sz w:val="24"/>
                <w:szCs w:val="24"/>
              </w:rPr>
              <w:t xml:space="preserve">747,4 </w:t>
            </w:r>
            <w:r w:rsidRPr="005B3F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3FE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3FE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3FE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B3FE3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CC49AA" w:rsidRPr="005B3FE3" w:rsidRDefault="00CC49AA" w:rsidP="005B3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FE3">
              <w:rPr>
                <w:rFonts w:ascii="Times New Roman" w:hAnsi="Times New Roman" w:cs="Times New Roman"/>
                <w:sz w:val="24"/>
                <w:szCs w:val="24"/>
              </w:rPr>
              <w:t>за сч</w:t>
            </w:r>
            <w:r w:rsidR="001D2C1D">
              <w:rPr>
                <w:rFonts w:ascii="Times New Roman" w:hAnsi="Times New Roman" w:cs="Times New Roman"/>
                <w:sz w:val="24"/>
                <w:szCs w:val="24"/>
              </w:rPr>
              <w:t>ет средств местного бюджета:</w:t>
            </w:r>
          </w:p>
          <w:p w:rsidR="00CC49AA" w:rsidRDefault="00791206" w:rsidP="005B3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 – 0,00</w:t>
            </w:r>
          </w:p>
          <w:p w:rsidR="005B3FE3" w:rsidRDefault="00791206" w:rsidP="005B3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 – 747,4</w:t>
            </w:r>
          </w:p>
          <w:p w:rsidR="005B3FE3" w:rsidRPr="005B3FE3" w:rsidRDefault="00791206" w:rsidP="005B3F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B3FE3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3FE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CC49AA" w:rsidRPr="005B3FE3" w:rsidRDefault="00CC49AA" w:rsidP="005B3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206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  <w:r w:rsidRPr="005B3F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91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3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2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C49AA" w:rsidRPr="005B3FE3" w:rsidRDefault="00791206" w:rsidP="005B3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г-0,00</w:t>
            </w:r>
          </w:p>
          <w:p w:rsidR="00CC49AA" w:rsidRPr="005B3FE3" w:rsidRDefault="00CC49AA" w:rsidP="005B3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AA" w:rsidTr="00791206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Default="00CC49AA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исполнением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="005B3FE3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9AA" w:rsidRDefault="005B3FE3" w:rsidP="007912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Залазнинского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</w:tbl>
    <w:p w:rsidR="00CC49AA" w:rsidRDefault="00CC49AA" w:rsidP="00CC49AA">
      <w:pPr>
        <w:autoSpaceDE w:val="0"/>
        <w:autoSpaceDN w:val="0"/>
        <w:adjustRightInd w:val="0"/>
      </w:pPr>
    </w:p>
    <w:p w:rsidR="00CC49AA" w:rsidRDefault="00CC49AA" w:rsidP="00CC49AA">
      <w:pPr>
        <w:autoSpaceDE w:val="0"/>
        <w:autoSpaceDN w:val="0"/>
        <w:adjustRightInd w:val="0"/>
      </w:pPr>
    </w:p>
    <w:p w:rsidR="00CC49AA" w:rsidRDefault="00CC49AA" w:rsidP="00CC49AA">
      <w:pPr>
        <w:autoSpaceDE w:val="0"/>
        <w:autoSpaceDN w:val="0"/>
        <w:adjustRightInd w:val="0"/>
      </w:pPr>
    </w:p>
    <w:p w:rsidR="001D2C1D" w:rsidRDefault="001D2C1D" w:rsidP="00CC49AA">
      <w:pPr>
        <w:autoSpaceDE w:val="0"/>
        <w:autoSpaceDN w:val="0"/>
        <w:adjustRightInd w:val="0"/>
      </w:pPr>
    </w:p>
    <w:p w:rsidR="001D2C1D" w:rsidRDefault="001D2C1D" w:rsidP="00CC49AA">
      <w:pPr>
        <w:autoSpaceDE w:val="0"/>
        <w:autoSpaceDN w:val="0"/>
        <w:adjustRightInd w:val="0"/>
      </w:pPr>
    </w:p>
    <w:p w:rsidR="00CC49AA" w:rsidRPr="005B3FE3" w:rsidRDefault="00CC49AA" w:rsidP="005B3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9AA" w:rsidRDefault="00CC49AA" w:rsidP="005B3F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E3">
        <w:rPr>
          <w:rFonts w:ascii="Times New Roman" w:hAnsi="Times New Roman" w:cs="Times New Roman"/>
          <w:b/>
          <w:sz w:val="28"/>
          <w:szCs w:val="28"/>
        </w:rPr>
        <w:t xml:space="preserve">2. ХАРАКТЕРИСТИКА ПРОБЛЕМЫ И ОБОСНОВАНИЕ НЕОБХОДИМОСТИ ЕЕ РЕШЕНИЯ </w:t>
      </w:r>
    </w:p>
    <w:p w:rsidR="00F42AD3" w:rsidRPr="005B3FE3" w:rsidRDefault="00F42AD3" w:rsidP="005B3F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9AA" w:rsidRPr="005B3FE3" w:rsidRDefault="00CC49AA" w:rsidP="00F42A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 xml:space="preserve">Общая площадь муниципального жилого фонда, находящегося на территории </w:t>
      </w:r>
      <w:r w:rsidR="005B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FE3">
        <w:rPr>
          <w:rFonts w:ascii="Times New Roman" w:hAnsi="Times New Roman" w:cs="Times New Roman"/>
          <w:sz w:val="24"/>
          <w:szCs w:val="24"/>
        </w:rPr>
        <w:t>Залазнинского</w:t>
      </w:r>
      <w:proofErr w:type="spellEnd"/>
      <w:r w:rsidR="005B3FE3">
        <w:rPr>
          <w:rFonts w:ascii="Times New Roman" w:hAnsi="Times New Roman" w:cs="Times New Roman"/>
          <w:sz w:val="24"/>
          <w:szCs w:val="24"/>
        </w:rPr>
        <w:t xml:space="preserve"> </w:t>
      </w:r>
      <w:r w:rsidRPr="005B3FE3">
        <w:rPr>
          <w:rFonts w:ascii="Times New Roman" w:hAnsi="Times New Roman" w:cs="Times New Roman"/>
          <w:sz w:val="24"/>
          <w:szCs w:val="24"/>
        </w:rPr>
        <w:t xml:space="preserve">сельского поселения составляет </w:t>
      </w:r>
      <w:r w:rsidR="000166D6">
        <w:rPr>
          <w:rFonts w:ascii="Times New Roman" w:hAnsi="Times New Roman" w:cs="Times New Roman"/>
          <w:sz w:val="24"/>
          <w:szCs w:val="24"/>
        </w:rPr>
        <w:t>37,0</w:t>
      </w:r>
      <w:r w:rsidRPr="005B3FE3">
        <w:rPr>
          <w:rFonts w:ascii="Times New Roman" w:hAnsi="Times New Roman" w:cs="Times New Roman"/>
          <w:sz w:val="24"/>
          <w:szCs w:val="24"/>
        </w:rPr>
        <w:t xml:space="preserve"> кв. м, из которых </w:t>
      </w:r>
      <w:r w:rsidR="000166D6">
        <w:rPr>
          <w:rFonts w:ascii="Times New Roman" w:hAnsi="Times New Roman" w:cs="Times New Roman"/>
          <w:sz w:val="24"/>
          <w:szCs w:val="24"/>
        </w:rPr>
        <w:t>16,9</w:t>
      </w:r>
      <w:r w:rsidRPr="005B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FE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B3FE3">
        <w:rPr>
          <w:rFonts w:ascii="Times New Roman" w:hAnsi="Times New Roman" w:cs="Times New Roman"/>
          <w:sz w:val="24"/>
          <w:szCs w:val="24"/>
        </w:rPr>
        <w:t xml:space="preserve">. составляет площадь муниципальных квартир, </w:t>
      </w:r>
      <w:r w:rsidR="00C00501">
        <w:rPr>
          <w:rFonts w:ascii="Times New Roman" w:hAnsi="Times New Roman" w:cs="Times New Roman"/>
          <w:sz w:val="24"/>
          <w:szCs w:val="24"/>
        </w:rPr>
        <w:t>расположенных в двухквартирных жилых  домах</w:t>
      </w:r>
      <w:r w:rsidRPr="005B3FE3">
        <w:rPr>
          <w:rFonts w:ascii="Times New Roman" w:hAnsi="Times New Roman" w:cs="Times New Roman"/>
          <w:sz w:val="24"/>
          <w:szCs w:val="24"/>
        </w:rPr>
        <w:t>.</w:t>
      </w:r>
      <w:r w:rsidR="00C00501">
        <w:rPr>
          <w:rFonts w:ascii="Times New Roman" w:hAnsi="Times New Roman" w:cs="Times New Roman"/>
          <w:sz w:val="24"/>
          <w:szCs w:val="24"/>
        </w:rPr>
        <w:t xml:space="preserve"> Многоквартирных жилых домов на территории поселения нет. Жилищный фонд был передан на баланс администрации муниципального образования</w:t>
      </w:r>
      <w:r w:rsidR="0001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6D6">
        <w:rPr>
          <w:rFonts w:ascii="Times New Roman" w:hAnsi="Times New Roman" w:cs="Times New Roman"/>
          <w:sz w:val="24"/>
          <w:szCs w:val="24"/>
        </w:rPr>
        <w:t>Залазнинского</w:t>
      </w:r>
      <w:proofErr w:type="spellEnd"/>
      <w:r w:rsidR="000166D6">
        <w:rPr>
          <w:rFonts w:ascii="Times New Roman" w:hAnsi="Times New Roman" w:cs="Times New Roman"/>
          <w:sz w:val="24"/>
          <w:szCs w:val="24"/>
        </w:rPr>
        <w:t xml:space="preserve"> сельского поселения безвозмездно из муниципальной собственности МО </w:t>
      </w:r>
      <w:proofErr w:type="spellStart"/>
      <w:r w:rsidR="000166D6">
        <w:rPr>
          <w:rFonts w:ascii="Times New Roman" w:hAnsi="Times New Roman" w:cs="Times New Roman"/>
          <w:sz w:val="24"/>
          <w:szCs w:val="24"/>
        </w:rPr>
        <w:t>Омутнинский</w:t>
      </w:r>
      <w:proofErr w:type="spellEnd"/>
      <w:r w:rsidR="000166D6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="00C0050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Кировской области  от 13.05.2008 № 131/175.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 xml:space="preserve">              На территории поселения имеется </w:t>
      </w:r>
      <w:r w:rsidR="000166D6" w:rsidRPr="000166D6">
        <w:rPr>
          <w:rFonts w:ascii="Times New Roman" w:hAnsi="Times New Roman" w:cs="Times New Roman"/>
          <w:sz w:val="24"/>
          <w:szCs w:val="24"/>
        </w:rPr>
        <w:t>113 блокированной застройки</w:t>
      </w:r>
      <w:r w:rsidRPr="000166D6">
        <w:rPr>
          <w:rFonts w:ascii="Times New Roman" w:hAnsi="Times New Roman" w:cs="Times New Roman"/>
          <w:sz w:val="24"/>
          <w:szCs w:val="24"/>
        </w:rPr>
        <w:t>, по годам постройки распределяются следующим образом:</w:t>
      </w:r>
    </w:p>
    <w:p w:rsidR="00CC49AA" w:rsidRPr="005B3FE3" w:rsidRDefault="000166D6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1946-1950  г. – 57</w:t>
      </w:r>
      <w:r w:rsidR="00CC49AA" w:rsidRPr="005B3FE3">
        <w:rPr>
          <w:rFonts w:ascii="Times New Roman" w:hAnsi="Times New Roman" w:cs="Times New Roman"/>
          <w:sz w:val="24"/>
          <w:szCs w:val="24"/>
        </w:rPr>
        <w:t>;</w:t>
      </w:r>
    </w:p>
    <w:p w:rsidR="00CC49AA" w:rsidRPr="005B3FE3" w:rsidRDefault="000166D6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1971-1995 г. – 53</w:t>
      </w:r>
      <w:r w:rsidR="00CC49AA" w:rsidRPr="005B3FE3">
        <w:rPr>
          <w:rFonts w:ascii="Times New Roman" w:hAnsi="Times New Roman" w:cs="Times New Roman"/>
          <w:sz w:val="24"/>
          <w:szCs w:val="24"/>
        </w:rPr>
        <w:t>;</w:t>
      </w:r>
    </w:p>
    <w:p w:rsidR="00CC49AA" w:rsidRPr="005B3FE3" w:rsidRDefault="00CC49AA" w:rsidP="000166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166D6">
        <w:rPr>
          <w:rFonts w:ascii="Times New Roman" w:hAnsi="Times New Roman" w:cs="Times New Roman"/>
          <w:sz w:val="24"/>
          <w:szCs w:val="24"/>
        </w:rPr>
        <w:t>После 1995 г – 3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>Проценты износа составляют  от 47 до 60 %, но ремонт  домов ни разу не проводился</w:t>
      </w:r>
      <w:proofErr w:type="gramStart"/>
      <w:r w:rsidRPr="005B3F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3FE3">
        <w:rPr>
          <w:rFonts w:ascii="Times New Roman" w:hAnsi="Times New Roman" w:cs="Times New Roman"/>
          <w:sz w:val="24"/>
          <w:szCs w:val="24"/>
        </w:rPr>
        <w:t xml:space="preserve"> поэтому всем домам необходимо проведение капитального ремонта.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>В связи с ежегодной финансовой необеспеченностью работ по проведению капит</w:t>
      </w:r>
      <w:r w:rsidR="00C00501">
        <w:rPr>
          <w:rFonts w:ascii="Times New Roman" w:hAnsi="Times New Roman" w:cs="Times New Roman"/>
          <w:sz w:val="24"/>
          <w:szCs w:val="24"/>
        </w:rPr>
        <w:t xml:space="preserve">ального ремонта муниципальных </w:t>
      </w:r>
      <w:r w:rsidRPr="005B3FE3">
        <w:rPr>
          <w:rFonts w:ascii="Times New Roman" w:hAnsi="Times New Roman" w:cs="Times New Roman"/>
          <w:sz w:val="24"/>
          <w:szCs w:val="24"/>
        </w:rPr>
        <w:t xml:space="preserve">домов вопрос о приведении муниципального жилого фонда в </w:t>
      </w:r>
      <w:r w:rsidR="00C0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501">
        <w:rPr>
          <w:rFonts w:ascii="Times New Roman" w:hAnsi="Times New Roman" w:cs="Times New Roman"/>
          <w:sz w:val="24"/>
          <w:szCs w:val="24"/>
        </w:rPr>
        <w:t>Залазнинском</w:t>
      </w:r>
      <w:proofErr w:type="spellEnd"/>
      <w:r w:rsidR="00C00501">
        <w:rPr>
          <w:rFonts w:ascii="Times New Roman" w:hAnsi="Times New Roman" w:cs="Times New Roman"/>
          <w:sz w:val="24"/>
          <w:szCs w:val="24"/>
        </w:rPr>
        <w:t xml:space="preserve"> </w:t>
      </w:r>
      <w:r w:rsidRPr="005B3FE3">
        <w:rPr>
          <w:rFonts w:ascii="Times New Roman" w:hAnsi="Times New Roman" w:cs="Times New Roman"/>
          <w:sz w:val="24"/>
          <w:szCs w:val="24"/>
        </w:rPr>
        <w:t>сельском поселении в нормативное состояние стоит остро и тормозит перевод жилищного хозяйства в сферу рыночных отношений.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>Актуальность разработки Программы обусловлена как социальными, так и экономическими факторами. В целях оказания помощи гражданам необходимо привлечение на эти цели бюджетных финансовых средств. Такая возможность предусмотрена статьей 165 ЖК РФ, что позволяет привлекать не только бюджетные средств, но и средства собственников жилья. Наличие незаселенного муниципального жилого фонда обусловлено в основном его неудовлетворительным состоянием. Для распределения свободного жилья гражданам, нуждающимся в улучшении жилищных условий, необходимо привести его в надлежащее состояние. Обеспечение своевременной оплаты коммунальных услуг за незаселенные муниципальные жилые помещения способствует уменьшению дебиторской задолженности предприятий жилищно-коммунального комплекса и своевременной оплате за потребленные энергоносители.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>Указанные проблемы стали основой муниципальной п</w:t>
      </w:r>
      <w:r w:rsidR="00F42AD3">
        <w:rPr>
          <w:rFonts w:ascii="Times New Roman" w:hAnsi="Times New Roman" w:cs="Times New Roman"/>
          <w:sz w:val="24"/>
          <w:szCs w:val="24"/>
        </w:rPr>
        <w:t>одп</w:t>
      </w:r>
      <w:r w:rsidRPr="005B3FE3">
        <w:rPr>
          <w:rFonts w:ascii="Times New Roman" w:hAnsi="Times New Roman" w:cs="Times New Roman"/>
          <w:sz w:val="24"/>
          <w:szCs w:val="24"/>
        </w:rPr>
        <w:t>рограммы «</w:t>
      </w:r>
      <w:r w:rsidR="00F42AD3">
        <w:rPr>
          <w:rFonts w:ascii="Times New Roman" w:hAnsi="Times New Roman" w:cs="Times New Roman"/>
          <w:sz w:val="24"/>
          <w:szCs w:val="24"/>
        </w:rPr>
        <w:t xml:space="preserve">Содержание и ремонт  жилого фонда   </w:t>
      </w:r>
      <w:proofErr w:type="spellStart"/>
      <w:r w:rsidR="00F42AD3">
        <w:rPr>
          <w:rFonts w:ascii="Times New Roman" w:hAnsi="Times New Roman" w:cs="Times New Roman"/>
          <w:sz w:val="24"/>
          <w:szCs w:val="24"/>
        </w:rPr>
        <w:t>Залазнинско</w:t>
      </w:r>
      <w:r w:rsidR="002C6AB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C6ABB">
        <w:rPr>
          <w:rFonts w:ascii="Times New Roman" w:hAnsi="Times New Roman" w:cs="Times New Roman"/>
          <w:sz w:val="24"/>
          <w:szCs w:val="24"/>
        </w:rPr>
        <w:t xml:space="preserve"> сельского поселения   на 2021-2025</w:t>
      </w:r>
      <w:r w:rsidR="00F42AD3">
        <w:rPr>
          <w:rFonts w:ascii="Times New Roman" w:hAnsi="Times New Roman" w:cs="Times New Roman"/>
          <w:sz w:val="24"/>
          <w:szCs w:val="24"/>
        </w:rPr>
        <w:t xml:space="preserve"> годы</w:t>
      </w:r>
      <w:proofErr w:type="gramStart"/>
      <w:r w:rsidR="00F42AD3">
        <w:rPr>
          <w:rFonts w:ascii="Times New Roman" w:hAnsi="Times New Roman" w:cs="Times New Roman"/>
          <w:sz w:val="24"/>
          <w:szCs w:val="24"/>
        </w:rPr>
        <w:t xml:space="preserve">.»                                     </w:t>
      </w:r>
      <w:proofErr w:type="gramEnd"/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9AA" w:rsidRPr="00C00501" w:rsidRDefault="00CC49AA" w:rsidP="00C00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01"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>Цели реализации Программы: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>1. Обеспеч</w:t>
      </w:r>
      <w:r w:rsidR="000166D6">
        <w:rPr>
          <w:rFonts w:ascii="Times New Roman" w:hAnsi="Times New Roman" w:cs="Times New Roman"/>
          <w:sz w:val="24"/>
          <w:szCs w:val="24"/>
        </w:rPr>
        <w:t>ение сохранности муниципального жилого фонда</w:t>
      </w:r>
      <w:r w:rsidRPr="005B3F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>2. Улучшение комфортности проживания в них граждан;</w:t>
      </w:r>
    </w:p>
    <w:p w:rsidR="00CC49AA" w:rsidRPr="005B3FE3" w:rsidRDefault="000166D6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49AA" w:rsidRPr="005B3FE3">
        <w:rPr>
          <w:rFonts w:ascii="Times New Roman" w:hAnsi="Times New Roman" w:cs="Times New Roman"/>
          <w:sz w:val="24"/>
          <w:szCs w:val="24"/>
        </w:rPr>
        <w:t>. Капитальный ремонт муниципального жилого фонда.</w:t>
      </w:r>
    </w:p>
    <w:p w:rsidR="000166D6" w:rsidRDefault="000166D6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 xml:space="preserve">Задачи реализации Программы: 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 xml:space="preserve">1. Привести состояние муниципального жилого фонда в соответствие с нормативно-техническими требованиями;  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 xml:space="preserve">2.Увеличить количество </w:t>
      </w:r>
      <w:proofErr w:type="gramStart"/>
      <w:r w:rsidRPr="005B3FE3">
        <w:rPr>
          <w:rFonts w:ascii="Times New Roman" w:hAnsi="Times New Roman" w:cs="Times New Roman"/>
          <w:sz w:val="24"/>
          <w:szCs w:val="24"/>
        </w:rPr>
        <w:t>приватизированного</w:t>
      </w:r>
      <w:proofErr w:type="gramEnd"/>
      <w:r w:rsidRPr="005B3FE3">
        <w:rPr>
          <w:rFonts w:ascii="Times New Roman" w:hAnsi="Times New Roman" w:cs="Times New Roman"/>
          <w:sz w:val="24"/>
          <w:szCs w:val="24"/>
        </w:rPr>
        <w:t xml:space="preserve"> жил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9AA" w:rsidRPr="000166D6" w:rsidRDefault="00CC49AA" w:rsidP="000166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6D6">
        <w:rPr>
          <w:rFonts w:ascii="Times New Roman" w:hAnsi="Times New Roman" w:cs="Times New Roman"/>
          <w:b/>
          <w:sz w:val="28"/>
          <w:szCs w:val="28"/>
        </w:rPr>
        <w:t>4. ОСНОВНЫЕ НАПРАВЛЕНИЯ РЕАЛИЗАЦИИ П</w:t>
      </w:r>
      <w:r w:rsidR="00F42AD3">
        <w:rPr>
          <w:rFonts w:ascii="Times New Roman" w:hAnsi="Times New Roman" w:cs="Times New Roman"/>
          <w:b/>
          <w:sz w:val="28"/>
          <w:szCs w:val="28"/>
        </w:rPr>
        <w:t>ОДП</w:t>
      </w:r>
      <w:r w:rsidRPr="000166D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9AA" w:rsidRPr="005B3FE3" w:rsidRDefault="00CC49AA" w:rsidP="000166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 xml:space="preserve">Исходя из анализа существующего положения дел в жилищном хозяйстве </w:t>
      </w:r>
      <w:proofErr w:type="spellStart"/>
      <w:r w:rsidR="000166D6">
        <w:rPr>
          <w:rFonts w:ascii="Times New Roman" w:hAnsi="Times New Roman" w:cs="Times New Roman"/>
          <w:sz w:val="24"/>
          <w:szCs w:val="24"/>
        </w:rPr>
        <w:t>Залазнинского</w:t>
      </w:r>
      <w:proofErr w:type="spellEnd"/>
      <w:r w:rsidR="000166D6">
        <w:rPr>
          <w:rFonts w:ascii="Times New Roman" w:hAnsi="Times New Roman" w:cs="Times New Roman"/>
          <w:sz w:val="24"/>
          <w:szCs w:val="24"/>
        </w:rPr>
        <w:t xml:space="preserve"> </w:t>
      </w:r>
      <w:r w:rsidR="00F42AD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B3FE3">
        <w:rPr>
          <w:rFonts w:ascii="Times New Roman" w:hAnsi="Times New Roman" w:cs="Times New Roman"/>
          <w:sz w:val="24"/>
          <w:szCs w:val="24"/>
        </w:rPr>
        <w:t>, целей П</w:t>
      </w:r>
      <w:r w:rsidR="00F42AD3">
        <w:rPr>
          <w:rFonts w:ascii="Times New Roman" w:hAnsi="Times New Roman" w:cs="Times New Roman"/>
          <w:sz w:val="24"/>
          <w:szCs w:val="24"/>
        </w:rPr>
        <w:t>одп</w:t>
      </w:r>
      <w:r w:rsidRPr="005B3FE3">
        <w:rPr>
          <w:rFonts w:ascii="Times New Roman" w:hAnsi="Times New Roman" w:cs="Times New Roman"/>
          <w:sz w:val="24"/>
          <w:szCs w:val="24"/>
        </w:rPr>
        <w:t>рограммы предусматриваются основные направления ее реализации: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B3FE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B3FE3">
        <w:rPr>
          <w:rFonts w:ascii="Times New Roman" w:hAnsi="Times New Roman" w:cs="Times New Roman"/>
          <w:sz w:val="24"/>
          <w:szCs w:val="24"/>
        </w:rPr>
        <w:t xml:space="preserve"> мероприятий по реконструкции, капитальному ремонту крыш и кровель, внутренних инженерных коммуникаций и</w:t>
      </w:r>
      <w:r w:rsidR="00F42AD3">
        <w:rPr>
          <w:rFonts w:ascii="Times New Roman" w:hAnsi="Times New Roman" w:cs="Times New Roman"/>
          <w:sz w:val="24"/>
          <w:szCs w:val="24"/>
        </w:rPr>
        <w:t xml:space="preserve"> устройств муниципальных домов</w:t>
      </w:r>
      <w:r w:rsidRPr="005B3FE3">
        <w:rPr>
          <w:rFonts w:ascii="Times New Roman" w:hAnsi="Times New Roman" w:cs="Times New Roman"/>
          <w:sz w:val="24"/>
          <w:szCs w:val="24"/>
        </w:rPr>
        <w:t>;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B3FE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B3FE3">
        <w:rPr>
          <w:rFonts w:ascii="Times New Roman" w:hAnsi="Times New Roman" w:cs="Times New Roman"/>
          <w:sz w:val="24"/>
          <w:szCs w:val="24"/>
        </w:rPr>
        <w:t xml:space="preserve"> мероприятий по проведению строительных работ и организационно-технических мероприятий по устранению физического  износа элементов зданий с частичной заменой по необходимости конструктивных элементов, направленных на улучшение эксплуатацио</w:t>
      </w:r>
      <w:r w:rsidR="00F42AD3">
        <w:rPr>
          <w:rFonts w:ascii="Times New Roman" w:hAnsi="Times New Roman" w:cs="Times New Roman"/>
          <w:sz w:val="24"/>
          <w:szCs w:val="24"/>
        </w:rPr>
        <w:t>нных показателей муниципальных</w:t>
      </w:r>
      <w:r w:rsidRPr="005B3FE3">
        <w:rPr>
          <w:rFonts w:ascii="Times New Roman" w:hAnsi="Times New Roman" w:cs="Times New Roman"/>
          <w:sz w:val="24"/>
          <w:szCs w:val="24"/>
        </w:rPr>
        <w:t xml:space="preserve"> домов;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>- комплекс мер по приведению в нормативное состояние жилых помещений муниципального жилого фонда;</w:t>
      </w:r>
    </w:p>
    <w:p w:rsidR="00CC49AA" w:rsidRPr="005B3FE3" w:rsidRDefault="00CC49AA" w:rsidP="00F42A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9AA" w:rsidRPr="00F42AD3" w:rsidRDefault="00CC49AA" w:rsidP="00F42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AD3">
        <w:rPr>
          <w:rFonts w:ascii="Times New Roman" w:hAnsi="Times New Roman" w:cs="Times New Roman"/>
          <w:b/>
          <w:sz w:val="28"/>
          <w:szCs w:val="28"/>
        </w:rPr>
        <w:t>5. МЕХАНИЗМ РЕАЛИЗАЦИИ И УПРАВЛЕНИЯ П</w:t>
      </w:r>
      <w:r w:rsidR="00F42AD3">
        <w:rPr>
          <w:rFonts w:ascii="Times New Roman" w:hAnsi="Times New Roman" w:cs="Times New Roman"/>
          <w:b/>
          <w:sz w:val="28"/>
          <w:szCs w:val="28"/>
        </w:rPr>
        <w:t>ОДП</w:t>
      </w:r>
      <w:r w:rsidRPr="00F42AD3">
        <w:rPr>
          <w:rFonts w:ascii="Times New Roman" w:hAnsi="Times New Roman" w:cs="Times New Roman"/>
          <w:b/>
          <w:sz w:val="28"/>
          <w:szCs w:val="28"/>
        </w:rPr>
        <w:t>РОГРАММОЙ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>На реализацию П</w:t>
      </w:r>
      <w:r w:rsidR="00F42AD3">
        <w:rPr>
          <w:rFonts w:ascii="Times New Roman" w:hAnsi="Times New Roman" w:cs="Times New Roman"/>
          <w:sz w:val="24"/>
          <w:szCs w:val="24"/>
        </w:rPr>
        <w:t>одп</w:t>
      </w:r>
      <w:r w:rsidRPr="005B3FE3">
        <w:rPr>
          <w:rFonts w:ascii="Times New Roman" w:hAnsi="Times New Roman" w:cs="Times New Roman"/>
          <w:sz w:val="24"/>
          <w:szCs w:val="24"/>
        </w:rPr>
        <w:t xml:space="preserve">рограммы предусматривается привлекать средства бюджета     Администрации </w:t>
      </w:r>
      <w:proofErr w:type="spellStart"/>
      <w:r w:rsidR="00F42AD3">
        <w:rPr>
          <w:rFonts w:ascii="Times New Roman" w:hAnsi="Times New Roman" w:cs="Times New Roman"/>
          <w:sz w:val="24"/>
          <w:szCs w:val="24"/>
        </w:rPr>
        <w:t>Залазнинского</w:t>
      </w:r>
      <w:proofErr w:type="spellEnd"/>
      <w:r w:rsidR="00F42AD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B3FE3">
        <w:rPr>
          <w:rFonts w:ascii="Times New Roman" w:hAnsi="Times New Roman" w:cs="Times New Roman"/>
          <w:sz w:val="24"/>
          <w:szCs w:val="24"/>
        </w:rPr>
        <w:t>.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AD3">
        <w:rPr>
          <w:rFonts w:ascii="Times New Roman" w:hAnsi="Times New Roman" w:cs="Times New Roman"/>
          <w:sz w:val="24"/>
          <w:szCs w:val="24"/>
        </w:rPr>
        <w:t>Залазнинского</w:t>
      </w:r>
      <w:proofErr w:type="spellEnd"/>
      <w:r w:rsidR="00F42AD3">
        <w:rPr>
          <w:rFonts w:ascii="Times New Roman" w:hAnsi="Times New Roman" w:cs="Times New Roman"/>
          <w:sz w:val="24"/>
          <w:szCs w:val="24"/>
        </w:rPr>
        <w:t xml:space="preserve"> </w:t>
      </w:r>
      <w:r w:rsidRPr="005B3FE3">
        <w:rPr>
          <w:rFonts w:ascii="Times New Roman" w:hAnsi="Times New Roman" w:cs="Times New Roman"/>
          <w:sz w:val="24"/>
          <w:szCs w:val="24"/>
        </w:rPr>
        <w:t>сельского поселения осуществляет: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>-    общее руководство и управление реализацией П</w:t>
      </w:r>
      <w:r w:rsidR="00F42AD3">
        <w:rPr>
          <w:rFonts w:ascii="Times New Roman" w:hAnsi="Times New Roman" w:cs="Times New Roman"/>
          <w:sz w:val="24"/>
          <w:szCs w:val="24"/>
        </w:rPr>
        <w:t>одп</w:t>
      </w:r>
      <w:r w:rsidRPr="005B3FE3">
        <w:rPr>
          <w:rFonts w:ascii="Times New Roman" w:hAnsi="Times New Roman" w:cs="Times New Roman"/>
          <w:sz w:val="24"/>
          <w:szCs w:val="24"/>
        </w:rPr>
        <w:t>рограммы;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 xml:space="preserve">-  </w:t>
      </w:r>
      <w:r w:rsidR="00F42AD3">
        <w:rPr>
          <w:rFonts w:ascii="Times New Roman" w:hAnsi="Times New Roman" w:cs="Times New Roman"/>
          <w:sz w:val="24"/>
          <w:szCs w:val="24"/>
        </w:rPr>
        <w:t>отбор муниципальных</w:t>
      </w:r>
      <w:r w:rsidRPr="005B3FE3">
        <w:rPr>
          <w:rFonts w:ascii="Times New Roman" w:hAnsi="Times New Roman" w:cs="Times New Roman"/>
          <w:sz w:val="24"/>
          <w:szCs w:val="24"/>
        </w:rPr>
        <w:t xml:space="preserve"> жилых домов и жилых помещений муниципального жилого фонда, подлежащих капитальному ремонту и удовлетворяющих условиям П</w:t>
      </w:r>
      <w:r w:rsidR="00F42AD3">
        <w:rPr>
          <w:rFonts w:ascii="Times New Roman" w:hAnsi="Times New Roman" w:cs="Times New Roman"/>
          <w:sz w:val="24"/>
          <w:szCs w:val="24"/>
        </w:rPr>
        <w:t>одп</w:t>
      </w:r>
      <w:r w:rsidRPr="005B3FE3">
        <w:rPr>
          <w:rFonts w:ascii="Times New Roman" w:hAnsi="Times New Roman" w:cs="Times New Roman"/>
          <w:sz w:val="24"/>
          <w:szCs w:val="24"/>
        </w:rPr>
        <w:t>рограммы;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>-  мониторинг жилых помещений незаселенного муниципального жилого фонда;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>Перечень программных мероприятий формируется Администрацией</w:t>
      </w:r>
      <w:r w:rsidR="00F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AD3">
        <w:rPr>
          <w:rFonts w:ascii="Times New Roman" w:hAnsi="Times New Roman" w:cs="Times New Roman"/>
          <w:sz w:val="24"/>
          <w:szCs w:val="24"/>
        </w:rPr>
        <w:t>Залазнинского</w:t>
      </w:r>
      <w:proofErr w:type="spellEnd"/>
      <w:r w:rsidRPr="005B3F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42AD3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Pr="005B3FE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42AD3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Pr="005B3FE3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="00F42AD3">
        <w:rPr>
          <w:rFonts w:ascii="Times New Roman" w:hAnsi="Times New Roman" w:cs="Times New Roman"/>
          <w:sz w:val="24"/>
          <w:szCs w:val="24"/>
        </w:rPr>
        <w:t>Залазнинского</w:t>
      </w:r>
      <w:proofErr w:type="spellEnd"/>
      <w:r w:rsidR="00F42AD3">
        <w:rPr>
          <w:rFonts w:ascii="Times New Roman" w:hAnsi="Times New Roman" w:cs="Times New Roman"/>
          <w:sz w:val="24"/>
          <w:szCs w:val="24"/>
        </w:rPr>
        <w:t xml:space="preserve"> </w:t>
      </w:r>
      <w:r w:rsidRPr="005B3FE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42AD3">
        <w:rPr>
          <w:rFonts w:ascii="Times New Roman" w:hAnsi="Times New Roman" w:cs="Times New Roman"/>
          <w:sz w:val="24"/>
          <w:szCs w:val="24"/>
        </w:rPr>
        <w:t xml:space="preserve">и ведущий специалист </w:t>
      </w:r>
      <w:r w:rsidRPr="005B3F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42AD3">
        <w:rPr>
          <w:rFonts w:ascii="Times New Roman" w:hAnsi="Times New Roman" w:cs="Times New Roman"/>
          <w:sz w:val="24"/>
          <w:szCs w:val="24"/>
        </w:rPr>
        <w:t>Залазнинского</w:t>
      </w:r>
      <w:proofErr w:type="spellEnd"/>
      <w:r w:rsidR="00F42AD3">
        <w:rPr>
          <w:rFonts w:ascii="Times New Roman" w:hAnsi="Times New Roman" w:cs="Times New Roman"/>
          <w:sz w:val="24"/>
          <w:szCs w:val="24"/>
        </w:rPr>
        <w:t xml:space="preserve"> </w:t>
      </w:r>
      <w:r w:rsidRPr="005B3FE3">
        <w:rPr>
          <w:rFonts w:ascii="Times New Roman" w:hAnsi="Times New Roman" w:cs="Times New Roman"/>
          <w:sz w:val="24"/>
          <w:szCs w:val="24"/>
        </w:rPr>
        <w:t xml:space="preserve">сельского поселения осуществляют </w:t>
      </w:r>
      <w:proofErr w:type="gramStart"/>
      <w:r w:rsidRPr="005B3F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3FE3">
        <w:rPr>
          <w:rFonts w:ascii="Times New Roman" w:hAnsi="Times New Roman" w:cs="Times New Roman"/>
          <w:sz w:val="24"/>
          <w:szCs w:val="24"/>
        </w:rPr>
        <w:t xml:space="preserve"> целевым использованием бюджетных средств, направленных на реализацию данной П</w:t>
      </w:r>
      <w:r w:rsidR="00F42AD3">
        <w:rPr>
          <w:rFonts w:ascii="Times New Roman" w:hAnsi="Times New Roman" w:cs="Times New Roman"/>
          <w:sz w:val="24"/>
          <w:szCs w:val="24"/>
        </w:rPr>
        <w:t>одп</w:t>
      </w:r>
      <w:r w:rsidRPr="005B3FE3">
        <w:rPr>
          <w:rFonts w:ascii="Times New Roman" w:hAnsi="Times New Roman" w:cs="Times New Roman"/>
          <w:sz w:val="24"/>
          <w:szCs w:val="24"/>
        </w:rPr>
        <w:t>рограммы и качеством выполненных работ по капитальному ремонту.</w:t>
      </w:r>
    </w:p>
    <w:p w:rsidR="00CC49AA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>Порядок выделения финансовых средств на капитальный ремонт и содержание муниципального жилого фонда утверждается постановлением Администрации</w:t>
      </w:r>
      <w:r w:rsidR="004B6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94">
        <w:rPr>
          <w:rFonts w:ascii="Times New Roman" w:hAnsi="Times New Roman" w:cs="Times New Roman"/>
          <w:sz w:val="24"/>
          <w:szCs w:val="24"/>
        </w:rPr>
        <w:t>Залазнинского</w:t>
      </w:r>
      <w:proofErr w:type="spellEnd"/>
      <w:r w:rsidR="004B689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B6894" w:rsidRPr="005B3FE3" w:rsidRDefault="004B6894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9AA" w:rsidRPr="004B6894" w:rsidRDefault="00CC49AA" w:rsidP="004B6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894">
        <w:rPr>
          <w:rFonts w:ascii="Times New Roman" w:hAnsi="Times New Roman" w:cs="Times New Roman"/>
          <w:b/>
          <w:sz w:val="28"/>
          <w:szCs w:val="28"/>
        </w:rPr>
        <w:t>6. ОЦЕНКА СОЦИАЛЬНО-ЭКОНОМИЧЕСКОЙ ЭФФЕКТИВНОСТИ</w:t>
      </w:r>
    </w:p>
    <w:p w:rsidR="00CC49AA" w:rsidRPr="004B6894" w:rsidRDefault="00CC49AA" w:rsidP="004B6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894">
        <w:rPr>
          <w:rFonts w:ascii="Times New Roman" w:hAnsi="Times New Roman" w:cs="Times New Roman"/>
          <w:b/>
          <w:sz w:val="28"/>
          <w:szCs w:val="28"/>
        </w:rPr>
        <w:t>РЕАЛИЗАЦИИ П</w:t>
      </w:r>
      <w:r w:rsidR="004B6894">
        <w:rPr>
          <w:rFonts w:ascii="Times New Roman" w:hAnsi="Times New Roman" w:cs="Times New Roman"/>
          <w:b/>
          <w:sz w:val="28"/>
          <w:szCs w:val="28"/>
        </w:rPr>
        <w:t>ОДП</w:t>
      </w:r>
      <w:r w:rsidRPr="004B6894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>Эффект от выполнения П</w:t>
      </w:r>
      <w:r w:rsidR="004B6894">
        <w:rPr>
          <w:rFonts w:ascii="Times New Roman" w:hAnsi="Times New Roman" w:cs="Times New Roman"/>
          <w:sz w:val="24"/>
          <w:szCs w:val="24"/>
        </w:rPr>
        <w:t>одп</w:t>
      </w:r>
      <w:r w:rsidRPr="005B3FE3">
        <w:rPr>
          <w:rFonts w:ascii="Times New Roman" w:hAnsi="Times New Roman" w:cs="Times New Roman"/>
          <w:sz w:val="24"/>
          <w:szCs w:val="24"/>
        </w:rPr>
        <w:t>рограммы имеет прежде всего социальную направленность: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>- улучшаются условия проживания граждан;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>- обеспечивается сохранность жилого фонда;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>- повышается эффективность эксплуатации жилых зданий;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 xml:space="preserve">- улучшается внешний </w:t>
      </w:r>
      <w:proofErr w:type="gramStart"/>
      <w:r w:rsidRPr="005B3FE3"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 w:rsidRPr="005B3FE3">
        <w:rPr>
          <w:rFonts w:ascii="Times New Roman" w:hAnsi="Times New Roman" w:cs="Times New Roman"/>
          <w:sz w:val="24"/>
          <w:szCs w:val="24"/>
        </w:rPr>
        <w:t xml:space="preserve"> жилых зданий;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 xml:space="preserve">- увеличивается надежность функционирования систем инженерно-технического обеспечения, что снижает потери ресурсов внутри дома и обеспечивает надлежащее качество коммунальных услуг. 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>Надежность работы инженерно-технических систем позволит сэкономить сре</w:t>
      </w:r>
      <w:r w:rsidR="004B6894">
        <w:rPr>
          <w:rFonts w:ascii="Times New Roman" w:hAnsi="Times New Roman" w:cs="Times New Roman"/>
          <w:sz w:val="24"/>
          <w:szCs w:val="24"/>
        </w:rPr>
        <w:t>дства нанимателей</w:t>
      </w:r>
      <w:r w:rsidRPr="005B3FE3">
        <w:rPr>
          <w:rFonts w:ascii="Times New Roman" w:hAnsi="Times New Roman" w:cs="Times New Roman"/>
          <w:sz w:val="24"/>
          <w:szCs w:val="24"/>
        </w:rPr>
        <w:t xml:space="preserve"> жилых помещений по оплате коммунальных услуг. Проведение реконструкции или капитального ремонта кровли, теплоизоляция огражда</w:t>
      </w:r>
      <w:r w:rsidR="004B6894">
        <w:rPr>
          <w:rFonts w:ascii="Times New Roman" w:hAnsi="Times New Roman" w:cs="Times New Roman"/>
          <w:sz w:val="24"/>
          <w:szCs w:val="24"/>
        </w:rPr>
        <w:t xml:space="preserve">ющих конструкций </w:t>
      </w:r>
      <w:r w:rsidRPr="005B3FE3">
        <w:rPr>
          <w:rFonts w:ascii="Times New Roman" w:hAnsi="Times New Roman" w:cs="Times New Roman"/>
          <w:sz w:val="24"/>
          <w:szCs w:val="24"/>
        </w:rPr>
        <w:t xml:space="preserve"> домов обеспечит экономию топливно-энергетических ресурсов и комфортное проживание граждан.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lastRenderedPageBreak/>
        <w:t>Результатом реализации П</w:t>
      </w:r>
      <w:r w:rsidR="004B6894">
        <w:rPr>
          <w:rFonts w:ascii="Times New Roman" w:hAnsi="Times New Roman" w:cs="Times New Roman"/>
          <w:sz w:val="24"/>
          <w:szCs w:val="24"/>
        </w:rPr>
        <w:t>одп</w:t>
      </w:r>
      <w:r w:rsidRPr="005B3FE3">
        <w:rPr>
          <w:rFonts w:ascii="Times New Roman" w:hAnsi="Times New Roman" w:cs="Times New Roman"/>
          <w:sz w:val="24"/>
          <w:szCs w:val="24"/>
        </w:rPr>
        <w:t>рограммы должно стать ежегодное сокра</w:t>
      </w:r>
      <w:r w:rsidR="004B6894">
        <w:rPr>
          <w:rFonts w:ascii="Times New Roman" w:hAnsi="Times New Roman" w:cs="Times New Roman"/>
          <w:sz w:val="24"/>
          <w:szCs w:val="24"/>
        </w:rPr>
        <w:t xml:space="preserve">щение количества </w:t>
      </w:r>
      <w:r w:rsidRPr="005B3FE3">
        <w:rPr>
          <w:rFonts w:ascii="Times New Roman" w:hAnsi="Times New Roman" w:cs="Times New Roman"/>
          <w:sz w:val="24"/>
          <w:szCs w:val="24"/>
        </w:rPr>
        <w:t xml:space="preserve"> домов с просроченным (в соответствии с нормативами его проведения) сроком проведения капитального ремонта. </w:t>
      </w:r>
    </w:p>
    <w:p w:rsidR="00CC49AA" w:rsidRPr="005B3FE3" w:rsidRDefault="00CC49AA" w:rsidP="005B3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FE3">
        <w:rPr>
          <w:rFonts w:ascii="Times New Roman" w:hAnsi="Times New Roman" w:cs="Times New Roman"/>
          <w:sz w:val="24"/>
          <w:szCs w:val="24"/>
        </w:rPr>
        <w:t>За период действия П</w:t>
      </w:r>
      <w:r w:rsidR="004B6894">
        <w:rPr>
          <w:rFonts w:ascii="Times New Roman" w:hAnsi="Times New Roman" w:cs="Times New Roman"/>
          <w:sz w:val="24"/>
          <w:szCs w:val="24"/>
        </w:rPr>
        <w:t>одп</w:t>
      </w:r>
      <w:r w:rsidRPr="005B3FE3">
        <w:rPr>
          <w:rFonts w:ascii="Times New Roman" w:hAnsi="Times New Roman" w:cs="Times New Roman"/>
          <w:sz w:val="24"/>
          <w:szCs w:val="24"/>
        </w:rPr>
        <w:t>рограммы планируется выполнить следующие показатели:</w:t>
      </w:r>
    </w:p>
    <w:p w:rsidR="00CC49AA" w:rsidRPr="005B3FE3" w:rsidRDefault="00CC49AA" w:rsidP="005B3FE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567"/>
        <w:gridCol w:w="567"/>
        <w:gridCol w:w="709"/>
        <w:gridCol w:w="567"/>
        <w:gridCol w:w="567"/>
      </w:tblGrid>
      <w:tr w:rsidR="00791206" w:rsidRPr="005B3FE3" w:rsidTr="00791206">
        <w:trPr>
          <w:cantSplit/>
          <w:trHeight w:val="2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206" w:rsidRPr="00432408" w:rsidRDefault="00791206" w:rsidP="005B3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8">
              <w:rPr>
                <w:rFonts w:ascii="Times New Roman" w:hAnsi="Times New Roman" w:cs="Times New Roman"/>
                <w:sz w:val="24"/>
                <w:szCs w:val="24"/>
              </w:rPr>
              <w:t>Планируемые показатели выполнения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1206" w:rsidRPr="00791206" w:rsidRDefault="00791206" w:rsidP="005B3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120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206" w:rsidRPr="00791206" w:rsidRDefault="00791206" w:rsidP="005B3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120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206" w:rsidRPr="00791206" w:rsidRDefault="00791206" w:rsidP="00791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120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1206" w:rsidRPr="00791206" w:rsidRDefault="00791206" w:rsidP="005B3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206" w:rsidRPr="00791206" w:rsidRDefault="00791206" w:rsidP="007912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91206" w:rsidRPr="00791206" w:rsidTr="00791206">
        <w:trPr>
          <w:cantSplit/>
          <w:trHeight w:val="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206" w:rsidRPr="00432408" w:rsidRDefault="00791206" w:rsidP="004B6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8">
              <w:rPr>
                <w:rFonts w:ascii="Times New Roman" w:hAnsi="Times New Roman" w:cs="Times New Roman"/>
                <w:sz w:val="24"/>
                <w:szCs w:val="24"/>
              </w:rPr>
              <w:t xml:space="preserve">1. Приведение в соответствие с нормативно-техническими требованиями сроков         </w:t>
            </w:r>
            <w:r w:rsidRPr="004324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капремонта     </w:t>
            </w:r>
            <w:r w:rsidRPr="004324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жилого фонда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206" w:rsidRPr="00432408" w:rsidRDefault="00791206" w:rsidP="005B3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8">
              <w:rPr>
                <w:rFonts w:ascii="Times New Roman" w:hAnsi="Times New Roman" w:cs="Times New Roman"/>
                <w:sz w:val="24"/>
                <w:szCs w:val="24"/>
              </w:rPr>
              <w:t xml:space="preserve">ремонт стен и перекрытия жилого помещения по адресу </w:t>
            </w:r>
            <w:proofErr w:type="spellStart"/>
            <w:r w:rsidRPr="00432408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43240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32408">
              <w:rPr>
                <w:rFonts w:ascii="Times New Roman" w:hAnsi="Times New Roman" w:cs="Times New Roman"/>
                <w:sz w:val="24"/>
                <w:szCs w:val="24"/>
              </w:rPr>
              <w:t>елорецк</w:t>
            </w:r>
            <w:proofErr w:type="spellEnd"/>
            <w:r w:rsidRPr="00432408">
              <w:rPr>
                <w:rFonts w:ascii="Times New Roman" w:hAnsi="Times New Roman" w:cs="Times New Roman"/>
                <w:sz w:val="24"/>
                <w:szCs w:val="24"/>
              </w:rPr>
              <w:t xml:space="preserve"> ул. Железнодорожная д.8 кв.1, ед.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206" w:rsidRPr="00432408" w:rsidRDefault="00791206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324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206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32408">
              <w:rPr>
                <w:rFonts w:ascii="Times New Roman" w:hAnsi="Times New Roman" w:cs="Times New Roman"/>
                <w:sz w:val="18"/>
                <w:szCs w:val="18"/>
              </w:rPr>
              <w:t>747,4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206" w:rsidRPr="00432408" w:rsidRDefault="00432408" w:rsidP="007912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206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206" w:rsidRPr="00432408" w:rsidRDefault="00432408" w:rsidP="007912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91206" w:rsidRPr="00791206" w:rsidTr="00791206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206" w:rsidRPr="00432408" w:rsidRDefault="00791206" w:rsidP="005B3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8">
              <w:rPr>
                <w:rFonts w:ascii="Times New Roman" w:hAnsi="Times New Roman" w:cs="Times New Roman"/>
                <w:sz w:val="24"/>
                <w:szCs w:val="24"/>
              </w:rPr>
              <w:t xml:space="preserve">2. Оплата за незаселенные муниципальные жилые помещения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206" w:rsidRPr="00432408" w:rsidRDefault="00791206" w:rsidP="005B3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незаселенных помещений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206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324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206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324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206" w:rsidRPr="00432408" w:rsidRDefault="00432408" w:rsidP="007912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324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206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324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206" w:rsidRPr="00432408" w:rsidRDefault="00432408" w:rsidP="007912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324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C49AA" w:rsidRPr="005B3FE3" w:rsidRDefault="00CC49AA" w:rsidP="005B3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9AA" w:rsidRPr="004B6894" w:rsidRDefault="00CC49AA" w:rsidP="004B6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894">
        <w:rPr>
          <w:rFonts w:ascii="Times New Roman" w:hAnsi="Times New Roman" w:cs="Times New Roman"/>
          <w:b/>
          <w:sz w:val="28"/>
          <w:szCs w:val="28"/>
        </w:rPr>
        <w:t>7. РЕСУРСНОЕ ОБЕСПЕЧЕНИЕ П</w:t>
      </w:r>
      <w:r w:rsidR="001D2C1D">
        <w:rPr>
          <w:rFonts w:ascii="Times New Roman" w:hAnsi="Times New Roman" w:cs="Times New Roman"/>
          <w:b/>
          <w:sz w:val="28"/>
          <w:szCs w:val="28"/>
        </w:rPr>
        <w:t>ОДП</w:t>
      </w:r>
      <w:r w:rsidRPr="004B6894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CC49AA" w:rsidRPr="005B3FE3" w:rsidRDefault="00CC49AA" w:rsidP="005B3FE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777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08"/>
        <w:gridCol w:w="709"/>
        <w:gridCol w:w="709"/>
        <w:gridCol w:w="709"/>
        <w:gridCol w:w="708"/>
        <w:gridCol w:w="709"/>
        <w:gridCol w:w="567"/>
        <w:gridCol w:w="567"/>
        <w:gridCol w:w="709"/>
        <w:gridCol w:w="709"/>
        <w:gridCol w:w="597"/>
        <w:gridCol w:w="540"/>
      </w:tblGrid>
      <w:tr w:rsidR="00432408" w:rsidRPr="005B3FE3" w:rsidTr="002C6ABB">
        <w:trPr>
          <w:cantSplit/>
          <w:trHeight w:val="240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408" w:rsidRPr="005B3FE3" w:rsidRDefault="00432408" w:rsidP="005B3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2408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3240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8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43240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408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43240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2408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43240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408" w:rsidRPr="005B3FE3" w:rsidRDefault="00432408" w:rsidP="005B3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43240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08" w:rsidRPr="005B3FE3" w:rsidRDefault="00432408"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Pr="0043240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432408" w:rsidRPr="005B3FE3" w:rsidTr="002C6ABB">
        <w:trPr>
          <w:cantSplit/>
          <w:trHeight w:val="300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408" w:rsidRPr="005B3FE3" w:rsidRDefault="00432408" w:rsidP="005B3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2408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3240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2408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32408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2408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3240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2408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32408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2408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3240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2408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32408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32408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3240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2408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32408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8" w:rsidRPr="005B3FE3" w:rsidRDefault="00432408" w:rsidP="005B3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408" w:rsidRPr="005B3FE3" w:rsidRDefault="00432408" w:rsidP="005B3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8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08" w:rsidRPr="005B3FE3" w:rsidRDefault="00432408">
            <w:r w:rsidRPr="00432408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08" w:rsidRPr="005B3FE3" w:rsidRDefault="00432408">
            <w:r w:rsidRPr="00432408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</w:tc>
      </w:tr>
      <w:tr w:rsidR="002C6ABB" w:rsidRPr="005B3FE3" w:rsidTr="002C6ABB">
        <w:trPr>
          <w:cantSplit/>
          <w:trHeight w:val="57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ABB" w:rsidRPr="00432408" w:rsidRDefault="002C6ABB" w:rsidP="005B3FE3">
            <w:pPr>
              <w:pStyle w:val="a3"/>
              <w:rPr>
                <w:rFonts w:ascii="Times New Roman" w:hAnsi="Times New Roman" w:cs="Times New Roman"/>
              </w:rPr>
            </w:pPr>
            <w:r w:rsidRPr="00432408">
              <w:rPr>
                <w:rFonts w:ascii="Times New Roman" w:hAnsi="Times New Roman" w:cs="Times New Roman"/>
              </w:rPr>
              <w:t xml:space="preserve">Всего: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6ABB" w:rsidRPr="00432408" w:rsidRDefault="002C6ABB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ABB" w:rsidRPr="00432408" w:rsidRDefault="002C6ABB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6ABB" w:rsidRPr="00432408" w:rsidRDefault="002C6ABB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6ABB" w:rsidRPr="00432408" w:rsidRDefault="002C6ABB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32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6ABB" w:rsidRPr="00432408" w:rsidRDefault="002C6ABB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ABB" w:rsidRPr="00432408" w:rsidRDefault="002C6ABB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32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6ABB" w:rsidRPr="00432408" w:rsidRDefault="002C6ABB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32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ABB" w:rsidRPr="00432408" w:rsidRDefault="002C6ABB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32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BB" w:rsidRDefault="002C6ABB">
            <w:r w:rsidRPr="004659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ABB" w:rsidRDefault="002C6ABB">
            <w:r w:rsidRPr="004659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ABB" w:rsidRDefault="002C6ABB">
            <w:r w:rsidRPr="004659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ABB" w:rsidRDefault="002C6ABB">
            <w:r w:rsidRPr="004659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2408" w:rsidRPr="005B3FE3" w:rsidTr="002C6ABB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408" w:rsidRPr="00432408" w:rsidRDefault="00432408" w:rsidP="005B3FE3">
            <w:pPr>
              <w:pStyle w:val="a3"/>
              <w:rPr>
                <w:rFonts w:ascii="Times New Roman" w:hAnsi="Times New Roman" w:cs="Times New Roman"/>
              </w:rPr>
            </w:pPr>
            <w:r w:rsidRPr="00432408">
              <w:rPr>
                <w:rFonts w:ascii="Times New Roman" w:hAnsi="Times New Roman" w:cs="Times New Roman"/>
              </w:rPr>
              <w:t xml:space="preserve">в том числе: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2408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2408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2408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2408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2408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2408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2408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2408" w:rsidRPr="00432408" w:rsidRDefault="00432408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08" w:rsidRPr="005B3FE3" w:rsidRDefault="00432408" w:rsidP="005B3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408" w:rsidRPr="005B3FE3" w:rsidRDefault="00432408" w:rsidP="005B3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08" w:rsidRPr="005B3FE3" w:rsidRDefault="00432408"/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08" w:rsidRPr="005B3FE3" w:rsidRDefault="00432408"/>
        </w:tc>
      </w:tr>
      <w:tr w:rsidR="002C6ABB" w:rsidRPr="005B3FE3" w:rsidTr="002C6ABB">
        <w:trPr>
          <w:cantSplit/>
          <w:trHeight w:val="323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ABB" w:rsidRPr="00432408" w:rsidRDefault="002C6ABB" w:rsidP="00791206">
            <w:pPr>
              <w:pStyle w:val="a3"/>
              <w:rPr>
                <w:rFonts w:ascii="Times New Roman" w:hAnsi="Times New Roman" w:cs="Times New Roman"/>
              </w:rPr>
            </w:pPr>
            <w:r w:rsidRPr="00432408">
              <w:rPr>
                <w:rFonts w:ascii="Times New Roman" w:hAnsi="Times New Roman" w:cs="Times New Roman"/>
              </w:rPr>
              <w:t xml:space="preserve">1. Приведение в соответствие с нормативно-техническими требованиями сроков         </w:t>
            </w:r>
            <w:r w:rsidRPr="00432408">
              <w:rPr>
                <w:rFonts w:ascii="Times New Roman" w:hAnsi="Times New Roman" w:cs="Times New Roman"/>
              </w:rPr>
              <w:br/>
              <w:t xml:space="preserve">проведения капремонта     </w:t>
            </w:r>
            <w:r w:rsidRPr="00432408">
              <w:rPr>
                <w:rFonts w:ascii="Times New Roman" w:hAnsi="Times New Roman" w:cs="Times New Roman"/>
              </w:rPr>
              <w:br/>
              <w:t>муниципального жилого фонда</w:t>
            </w:r>
          </w:p>
          <w:p w:rsidR="002C6ABB" w:rsidRPr="00432408" w:rsidRDefault="002C6ABB" w:rsidP="00791206">
            <w:pPr>
              <w:pStyle w:val="a3"/>
              <w:rPr>
                <w:rFonts w:ascii="Times New Roman" w:hAnsi="Times New Roman" w:cs="Times New Roman"/>
              </w:rPr>
            </w:pPr>
            <w:r w:rsidRPr="00432408">
              <w:rPr>
                <w:rFonts w:ascii="Times New Roman" w:hAnsi="Times New Roman" w:cs="Times New Roman"/>
              </w:rPr>
              <w:t xml:space="preserve">1.1. ремонт стен и перекрытия жилого помещения по адресу </w:t>
            </w:r>
            <w:proofErr w:type="spellStart"/>
            <w:r w:rsidRPr="00432408">
              <w:rPr>
                <w:rFonts w:ascii="Times New Roman" w:hAnsi="Times New Roman" w:cs="Times New Roman"/>
              </w:rPr>
              <w:t>пос</w:t>
            </w:r>
            <w:proofErr w:type="gramStart"/>
            <w:r w:rsidRPr="00432408">
              <w:rPr>
                <w:rFonts w:ascii="Times New Roman" w:hAnsi="Times New Roman" w:cs="Times New Roman"/>
              </w:rPr>
              <w:t>.Б</w:t>
            </w:r>
            <w:proofErr w:type="gramEnd"/>
            <w:r w:rsidRPr="00432408">
              <w:rPr>
                <w:rFonts w:ascii="Times New Roman" w:hAnsi="Times New Roman" w:cs="Times New Roman"/>
              </w:rPr>
              <w:t>елорецк</w:t>
            </w:r>
            <w:proofErr w:type="spellEnd"/>
            <w:r w:rsidRPr="00432408">
              <w:rPr>
                <w:rFonts w:ascii="Times New Roman" w:hAnsi="Times New Roman" w:cs="Times New Roman"/>
              </w:rPr>
              <w:t xml:space="preserve"> ул. Железнодорожная д.8 кв.1, ед.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6ABB" w:rsidRPr="00432408" w:rsidRDefault="002C6ABB" w:rsidP="00432408">
            <w:pPr>
              <w:pStyle w:val="a3"/>
              <w:ind w:left="-354" w:firstLine="3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ABB" w:rsidRPr="00432408" w:rsidRDefault="002C6ABB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324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6ABB" w:rsidRDefault="002C6ABB">
            <w:r w:rsidRPr="007E4E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6ABB" w:rsidRDefault="002C6ABB">
            <w:r w:rsidRPr="007E4E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6ABB" w:rsidRPr="00432408" w:rsidRDefault="002C6ABB" w:rsidP="005B3F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ABB" w:rsidRDefault="002C6ABB">
            <w:r w:rsidRPr="001C62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6ABB" w:rsidRDefault="002C6ABB">
            <w:r w:rsidRPr="001C62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ABB" w:rsidRDefault="002C6ABB">
            <w:r w:rsidRPr="001C62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BB" w:rsidRDefault="002C6ABB">
            <w:r w:rsidRPr="001C62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ABB" w:rsidRDefault="002C6ABB">
            <w:r w:rsidRPr="001C62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ABB" w:rsidRDefault="002C6ABB">
            <w:r w:rsidRPr="001C62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ABB" w:rsidRDefault="002C6ABB">
            <w:r w:rsidRPr="001C62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C6ABB" w:rsidRPr="005B3FE3" w:rsidTr="002C6ABB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ABB" w:rsidRPr="00432408" w:rsidRDefault="002C6ABB" w:rsidP="00791206">
            <w:pPr>
              <w:pStyle w:val="a3"/>
              <w:rPr>
                <w:rFonts w:ascii="Times New Roman" w:hAnsi="Times New Roman" w:cs="Times New Roman"/>
              </w:rPr>
            </w:pPr>
            <w:r w:rsidRPr="00432408">
              <w:rPr>
                <w:rFonts w:ascii="Times New Roman" w:hAnsi="Times New Roman" w:cs="Times New Roman"/>
              </w:rPr>
              <w:t xml:space="preserve">2. Оплата за незаселенные муниципальные жилые помещения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6ABB" w:rsidRDefault="002C6ABB">
            <w:r w:rsidRPr="00C750C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ABB" w:rsidRDefault="002C6ABB">
            <w:r w:rsidRPr="00C750C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6ABB" w:rsidRDefault="002C6ABB">
            <w:r w:rsidRPr="00C750C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6ABB" w:rsidRDefault="002C6ABB">
            <w:r w:rsidRPr="00C750C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6ABB" w:rsidRDefault="002C6ABB">
            <w:r w:rsidRPr="00C750C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ABB" w:rsidRDefault="002C6ABB">
            <w:r w:rsidRPr="00C750C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6ABB" w:rsidRDefault="002C6ABB">
            <w:r w:rsidRPr="00C750C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ABB" w:rsidRDefault="002C6ABB">
            <w:r w:rsidRPr="00C750C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BB" w:rsidRDefault="002C6ABB">
            <w:r w:rsidRPr="00C750C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ABB" w:rsidRDefault="002C6ABB">
            <w:r w:rsidRPr="00C750C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ABB" w:rsidRDefault="002C6ABB">
            <w:r w:rsidRPr="00C750C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ABB" w:rsidRDefault="002C6ABB">
            <w:r w:rsidRPr="00C750C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C49AA" w:rsidRPr="005B3FE3" w:rsidRDefault="00CC49AA" w:rsidP="005B3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9AA" w:rsidRPr="005B3FE3" w:rsidRDefault="00CC49AA" w:rsidP="005B3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9AA" w:rsidRDefault="00CC49AA" w:rsidP="005B3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C1D" w:rsidRDefault="001D2C1D" w:rsidP="005B3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C1D" w:rsidRDefault="001D2C1D" w:rsidP="005B3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C1D" w:rsidRDefault="001D2C1D" w:rsidP="005B3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C1D" w:rsidRDefault="002C6ABB" w:rsidP="002C6A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D2C1D" w:rsidRDefault="001D2C1D" w:rsidP="005B3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C1D" w:rsidRDefault="001D2C1D" w:rsidP="005B3F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C1D" w:rsidRDefault="001D2C1D" w:rsidP="005B3FE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D2C1D" w:rsidSect="002C6AB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323F8"/>
    <w:multiLevelType w:val="hybridMultilevel"/>
    <w:tmpl w:val="3B861236"/>
    <w:lvl w:ilvl="0" w:tplc="16503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BD12152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C87D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D2EE2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90AC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092A3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14C4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048D2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EAFB8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4D2B"/>
    <w:rsid w:val="00005B94"/>
    <w:rsid w:val="000166D6"/>
    <w:rsid w:val="00084F3A"/>
    <w:rsid w:val="000C2AD6"/>
    <w:rsid w:val="001D2C1D"/>
    <w:rsid w:val="001D63E2"/>
    <w:rsid w:val="002C6ABB"/>
    <w:rsid w:val="00425447"/>
    <w:rsid w:val="00432408"/>
    <w:rsid w:val="004B6894"/>
    <w:rsid w:val="005066EE"/>
    <w:rsid w:val="005B3FE3"/>
    <w:rsid w:val="006F2966"/>
    <w:rsid w:val="00791206"/>
    <w:rsid w:val="007F4D2B"/>
    <w:rsid w:val="00AB01FF"/>
    <w:rsid w:val="00B31D00"/>
    <w:rsid w:val="00C00501"/>
    <w:rsid w:val="00CC49AA"/>
    <w:rsid w:val="00D80587"/>
    <w:rsid w:val="00E10E95"/>
    <w:rsid w:val="00F4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2C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D2B"/>
    <w:pPr>
      <w:spacing w:after="0" w:line="240" w:lineRule="auto"/>
    </w:pPr>
  </w:style>
  <w:style w:type="paragraph" w:customStyle="1" w:styleId="ConsPlusCell">
    <w:name w:val="ConsPlusCell"/>
    <w:rsid w:val="00C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CC4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D2C1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D2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D2C1D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basedOn w:val="a0"/>
    <w:link w:val="a5"/>
    <w:locked/>
    <w:rsid w:val="001D2C1D"/>
    <w:rPr>
      <w:color w:val="000000"/>
      <w:sz w:val="24"/>
      <w:szCs w:val="24"/>
    </w:rPr>
  </w:style>
  <w:style w:type="paragraph" w:styleId="a5">
    <w:name w:val="Normal (Web)"/>
    <w:aliases w:val="Знак"/>
    <w:basedOn w:val="a"/>
    <w:link w:val="a4"/>
    <w:semiHidden/>
    <w:rsid w:val="001D2C1D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D2C1D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semiHidden/>
    <w:rsid w:val="001D2C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semiHidden/>
    <w:rsid w:val="001D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semiHidden/>
    <w:rsid w:val="001D2C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PointChar">
    <w:name w:val="Point Char"/>
    <w:link w:val="Point"/>
    <w:semiHidden/>
    <w:locked/>
    <w:rsid w:val="00E10E95"/>
    <w:rPr>
      <w:sz w:val="24"/>
      <w:szCs w:val="24"/>
    </w:rPr>
  </w:style>
  <w:style w:type="paragraph" w:customStyle="1" w:styleId="Point">
    <w:name w:val="Point"/>
    <w:basedOn w:val="a"/>
    <w:link w:val="PointChar"/>
    <w:semiHidden/>
    <w:rsid w:val="00E10E95"/>
    <w:pPr>
      <w:spacing w:before="120" w:after="0" w:line="288" w:lineRule="auto"/>
      <w:ind w:firstLine="720"/>
      <w:jc w:val="both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semiHidden/>
    <w:rsid w:val="00E1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10E95"/>
    <w:rPr>
      <w:rFonts w:ascii="Times New Roman" w:hAnsi="Times New Roman" w:cs="Times New Roman" w:hint="default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79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2023-03-01T12:03:00Z</cp:lastPrinted>
  <dcterms:created xsi:type="dcterms:W3CDTF">2020-03-10T09:59:00Z</dcterms:created>
  <dcterms:modified xsi:type="dcterms:W3CDTF">2023-03-01T12:04:00Z</dcterms:modified>
</cp:coreProperties>
</file>